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ECB6" w14:textId="71648D2A" w:rsidR="00C71720" w:rsidRDefault="00110A16" w:rsidP="00666F12">
      <w:pPr>
        <w:pStyle w:val="3GPPHeader"/>
        <w:tabs>
          <w:tab w:val="clear" w:pos="9360"/>
          <w:tab w:val="right" w:pos="8640"/>
        </w:tabs>
      </w:pPr>
      <w:r>
        <w:t>3GPP TSG-RAN WG1 Meeting #116</w:t>
      </w:r>
      <w:r>
        <w:tab/>
      </w:r>
      <w:r w:rsidR="00AF2823" w:rsidRPr="00AF2823">
        <w:t>R1-2401307</w:t>
      </w:r>
    </w:p>
    <w:p w14:paraId="3B22E420" w14:textId="1B3B286D" w:rsidR="00C71720" w:rsidRDefault="00110A16" w:rsidP="00666F12">
      <w:pPr>
        <w:pStyle w:val="3GPPHeader"/>
      </w:pPr>
      <w:r>
        <w:t>Athens, Greece, 26th February – 1st March 2024</w:t>
      </w:r>
    </w:p>
    <w:p w14:paraId="44966994" w14:textId="77777777" w:rsidR="00C71720" w:rsidRDefault="00C71720" w:rsidP="00666F12">
      <w:pPr>
        <w:pStyle w:val="3GPPHeader"/>
      </w:pPr>
    </w:p>
    <w:p w14:paraId="595D3751" w14:textId="77777777" w:rsidR="00C71720" w:rsidRDefault="00110A16" w:rsidP="00666F12">
      <w:pPr>
        <w:pStyle w:val="3GPPHeader"/>
      </w:pPr>
      <w:r>
        <w:t>Source:</w:t>
      </w:r>
      <w:r>
        <w:tab/>
        <w:t>MediaTek Inc.</w:t>
      </w:r>
    </w:p>
    <w:p w14:paraId="6820157C" w14:textId="3D1707F6" w:rsidR="00C71720" w:rsidRDefault="00110A16" w:rsidP="00666F12">
      <w:pPr>
        <w:pStyle w:val="3GPPHeader"/>
      </w:pPr>
      <w:r>
        <w:t>Title:</w:t>
      </w:r>
      <w:r>
        <w:tab/>
      </w:r>
      <w:r w:rsidR="0013626B">
        <w:t>On A</w:t>
      </w:r>
      <w:r>
        <w:t>mbient IoT device architectures</w:t>
      </w:r>
    </w:p>
    <w:p w14:paraId="31E527F0" w14:textId="77777777" w:rsidR="00C71720" w:rsidRDefault="00110A16" w:rsidP="00666F12">
      <w:pPr>
        <w:pStyle w:val="3GPPHeader"/>
      </w:pPr>
      <w:r>
        <w:t>Agenda item:</w:t>
      </w:r>
      <w:r>
        <w:tab/>
        <w:t xml:space="preserve">9.4.1.2 </w:t>
      </w:r>
    </w:p>
    <w:p w14:paraId="3F39FFA0" w14:textId="77777777" w:rsidR="00C71720" w:rsidRDefault="00110A16" w:rsidP="00666F12">
      <w:pPr>
        <w:pStyle w:val="3GPPHeader"/>
      </w:pPr>
      <w:r>
        <w:t>Document for:</w:t>
      </w:r>
      <w:r>
        <w:tab/>
        <w:t>Discussion</w:t>
      </w:r>
    </w:p>
    <w:p w14:paraId="2F106402" w14:textId="77777777" w:rsidR="00C71720" w:rsidRDefault="00C71720"/>
    <w:p w14:paraId="22D97420" w14:textId="77777777" w:rsidR="00C71720" w:rsidRDefault="00110A16">
      <w:pPr>
        <w:pStyle w:val="Heading1"/>
      </w:pPr>
      <w:r>
        <w:t>Introduction</w:t>
      </w:r>
    </w:p>
    <w:p w14:paraId="20090748" w14:textId="33A5E701" w:rsidR="0003458E" w:rsidRPr="002A725C" w:rsidRDefault="00822509">
      <w:pPr>
        <w:rPr>
          <w:rFonts w:eastAsia="SimSun"/>
        </w:rPr>
      </w:pPr>
      <w:r w:rsidRPr="00822509">
        <w:t>In this contribution, the focus is on Ambient IoT device architectures, addressing interference, multi-band operation, and UL transmission methods for active tags.</w:t>
      </w:r>
    </w:p>
    <w:p w14:paraId="220DF6FF" w14:textId="44DBDB64" w:rsidR="00C71720" w:rsidRDefault="006045F8">
      <w:pPr>
        <w:pStyle w:val="Heading1"/>
      </w:pPr>
      <w:r>
        <w:t>Support of interference suppression</w:t>
      </w:r>
    </w:p>
    <w:p w14:paraId="44FCE94F" w14:textId="3178E934" w:rsidR="00666F12" w:rsidRPr="00666F12" w:rsidRDefault="00666F12" w:rsidP="00666F12">
      <w:pPr>
        <w:rPr>
          <w:rFonts w:eastAsia="SimSun"/>
        </w:rPr>
      </w:pPr>
      <w:r w:rsidRPr="00666F12">
        <w:rPr>
          <w:rFonts w:eastAsia="SimSun"/>
        </w:rPr>
        <w:t>Ambient IoT devices, which have ultra-low power consumption, are susceptible to interference from other devices within the same cell or from neighboring cells. This interference can disrupt communication and degrade performance.</w:t>
      </w:r>
    </w:p>
    <w:p w14:paraId="72530C73" w14:textId="024F9360" w:rsidR="00666F12" w:rsidRDefault="00666F12" w:rsidP="00666F12">
      <w:pPr>
        <w:spacing w:after="240"/>
        <w:rPr>
          <w:rFonts w:eastAsia="SimSun"/>
        </w:rPr>
      </w:pPr>
      <w:r>
        <w:rPr>
          <w:rFonts w:eastAsia="SimSun"/>
        </w:rPr>
        <w:t xml:space="preserve">For example, the device A </w:t>
      </w:r>
      <w:r w:rsidR="00C64BCE">
        <w:rPr>
          <w:rFonts w:eastAsia="SimSun"/>
        </w:rPr>
        <w:t>cannot</w:t>
      </w:r>
      <w:r>
        <w:rPr>
          <w:rFonts w:eastAsia="SimSun"/>
        </w:rPr>
        <w:t xml:space="preserve"> handle interface without any LPF.</w:t>
      </w:r>
      <w:r w:rsidR="00C64BCE">
        <w:rPr>
          <w:rFonts w:eastAsia="SimSun"/>
        </w:rPr>
        <w:t xml:space="preserve"> Some details</w:t>
      </w:r>
      <w:r w:rsidR="00C64BCE" w:rsidRPr="00C64BCE">
        <w:rPr>
          <w:rFonts w:eastAsia="SimSun"/>
        </w:rPr>
        <w:t xml:space="preserve"> </w:t>
      </w:r>
      <w:r w:rsidR="00C64BCE">
        <w:rPr>
          <w:rFonts w:eastAsia="SimSun"/>
        </w:rPr>
        <w:t>are listed below.</w:t>
      </w:r>
    </w:p>
    <w:tbl>
      <w:tblPr>
        <w:tblStyle w:val="PlainTable1"/>
        <w:tblW w:w="0" w:type="auto"/>
        <w:tblLook w:val="0620" w:firstRow="1" w:lastRow="0" w:firstColumn="0" w:lastColumn="0" w:noHBand="1" w:noVBand="1"/>
      </w:tblPr>
      <w:tblGrid>
        <w:gridCol w:w="2093"/>
        <w:gridCol w:w="6763"/>
      </w:tblGrid>
      <w:tr w:rsidR="00C64BCE" w:rsidRPr="00666F12" w14:paraId="7EA200E1" w14:textId="77777777" w:rsidTr="00C64BCE">
        <w:trPr>
          <w:cnfStyle w:val="100000000000" w:firstRow="1" w:lastRow="0" w:firstColumn="0" w:lastColumn="0" w:oddVBand="0" w:evenVBand="0" w:oddHBand="0" w:evenHBand="0" w:firstRowFirstColumn="0" w:firstRowLastColumn="0" w:lastRowFirstColumn="0" w:lastRowLastColumn="0"/>
          <w:trHeight w:val="315"/>
        </w:trPr>
        <w:tc>
          <w:tcPr>
            <w:tcW w:w="2093" w:type="dxa"/>
            <w:hideMark/>
          </w:tcPr>
          <w:p w14:paraId="54FAC1EC" w14:textId="70DFF354" w:rsidR="00666F12" w:rsidRPr="00666F12" w:rsidRDefault="00666F12" w:rsidP="00666F12">
            <w:pPr>
              <w:rPr>
                <w:rFonts w:eastAsia="SimSun"/>
              </w:rPr>
            </w:pPr>
            <w:r w:rsidRPr="00666F12">
              <w:rPr>
                <w:rFonts w:eastAsia="SimSun"/>
              </w:rPr>
              <w:t xml:space="preserve">Device A </w:t>
            </w:r>
          </w:p>
        </w:tc>
        <w:tc>
          <w:tcPr>
            <w:tcW w:w="6763" w:type="dxa"/>
            <w:hideMark/>
          </w:tcPr>
          <w:p w14:paraId="32EE64E9" w14:textId="77777777" w:rsidR="00666F12" w:rsidRPr="00666F12" w:rsidRDefault="00666F12" w:rsidP="00666F12">
            <w:pPr>
              <w:rPr>
                <w:rFonts w:eastAsia="SimSun"/>
              </w:rPr>
            </w:pPr>
            <w:r w:rsidRPr="00666F12">
              <w:rPr>
                <w:rFonts w:eastAsia="SimSun"/>
              </w:rPr>
              <w:t>Description</w:t>
            </w:r>
          </w:p>
        </w:tc>
      </w:tr>
      <w:tr w:rsidR="00C64BCE" w:rsidRPr="00666F12" w14:paraId="61C8C605" w14:textId="77777777" w:rsidTr="00C64BCE">
        <w:trPr>
          <w:trHeight w:val="197"/>
        </w:trPr>
        <w:tc>
          <w:tcPr>
            <w:tcW w:w="2093" w:type="dxa"/>
            <w:hideMark/>
          </w:tcPr>
          <w:p w14:paraId="2808A775" w14:textId="77777777" w:rsidR="00666F12" w:rsidRPr="00666F12" w:rsidRDefault="00666F12" w:rsidP="00666F12">
            <w:pPr>
              <w:rPr>
                <w:rFonts w:eastAsia="SimSun"/>
              </w:rPr>
            </w:pPr>
            <w:r w:rsidRPr="00666F12">
              <w:rPr>
                <w:rFonts w:eastAsia="SimSun"/>
              </w:rPr>
              <w:t>Power Consumption</w:t>
            </w:r>
          </w:p>
        </w:tc>
        <w:tc>
          <w:tcPr>
            <w:tcW w:w="6763" w:type="dxa"/>
            <w:hideMark/>
          </w:tcPr>
          <w:p w14:paraId="6F0D06BF" w14:textId="77777777" w:rsidR="00666F12" w:rsidRPr="00666F12" w:rsidRDefault="00666F12" w:rsidP="00666F12">
            <w:pPr>
              <w:rPr>
                <w:rFonts w:eastAsia="SimSun"/>
              </w:rPr>
            </w:pPr>
            <w:r w:rsidRPr="00666F12">
              <w:rPr>
                <w:rFonts w:eastAsia="SimSun"/>
              </w:rPr>
              <w:t>~1 µW peak power consumption</w:t>
            </w:r>
          </w:p>
        </w:tc>
      </w:tr>
      <w:tr w:rsidR="00C64BCE" w:rsidRPr="00666F12" w14:paraId="369D6701" w14:textId="77777777" w:rsidTr="00C64BCE">
        <w:trPr>
          <w:trHeight w:val="315"/>
        </w:trPr>
        <w:tc>
          <w:tcPr>
            <w:tcW w:w="2093" w:type="dxa"/>
            <w:hideMark/>
          </w:tcPr>
          <w:p w14:paraId="6E6198BD" w14:textId="77777777" w:rsidR="00666F12" w:rsidRPr="00666F12" w:rsidRDefault="00666F12" w:rsidP="00666F12">
            <w:pPr>
              <w:rPr>
                <w:rFonts w:eastAsia="SimSun"/>
              </w:rPr>
            </w:pPr>
            <w:r w:rsidRPr="00666F12">
              <w:rPr>
                <w:rFonts w:eastAsia="SimSun"/>
              </w:rPr>
              <w:t>Complexity</w:t>
            </w:r>
          </w:p>
        </w:tc>
        <w:tc>
          <w:tcPr>
            <w:tcW w:w="6763" w:type="dxa"/>
            <w:hideMark/>
          </w:tcPr>
          <w:p w14:paraId="312D6C38" w14:textId="77777777" w:rsidR="00666F12" w:rsidRPr="00666F12" w:rsidRDefault="00666F12" w:rsidP="00666F12">
            <w:pPr>
              <w:rPr>
                <w:rFonts w:eastAsia="SimSun"/>
              </w:rPr>
            </w:pPr>
            <w:r w:rsidRPr="00666F12">
              <w:rPr>
                <w:rFonts w:eastAsia="SimSun"/>
              </w:rPr>
              <w:t>Comparable to UHF RFID ISO18000-6C (EPC C1G2)</w:t>
            </w:r>
          </w:p>
        </w:tc>
      </w:tr>
      <w:tr w:rsidR="00C64BCE" w:rsidRPr="00666F12" w14:paraId="0B22229D" w14:textId="77777777" w:rsidTr="00C64BCE">
        <w:trPr>
          <w:trHeight w:val="60"/>
        </w:trPr>
        <w:tc>
          <w:tcPr>
            <w:tcW w:w="2093" w:type="dxa"/>
            <w:hideMark/>
          </w:tcPr>
          <w:p w14:paraId="4F854FDA" w14:textId="77777777" w:rsidR="00666F12" w:rsidRPr="00666F12" w:rsidRDefault="00666F12" w:rsidP="00666F12">
            <w:pPr>
              <w:rPr>
                <w:rFonts w:eastAsia="SimSun"/>
              </w:rPr>
            </w:pPr>
            <w:r w:rsidRPr="00666F12">
              <w:rPr>
                <w:rFonts w:eastAsia="SimSun"/>
              </w:rPr>
              <w:t>Energy Storage</w:t>
            </w:r>
          </w:p>
        </w:tc>
        <w:tc>
          <w:tcPr>
            <w:tcW w:w="6763" w:type="dxa"/>
            <w:hideMark/>
          </w:tcPr>
          <w:p w14:paraId="48554AC4" w14:textId="77777777" w:rsidR="00666F12" w:rsidRPr="00666F12" w:rsidRDefault="00666F12" w:rsidP="00666F12">
            <w:pPr>
              <w:rPr>
                <w:rFonts w:eastAsia="SimSun"/>
              </w:rPr>
            </w:pPr>
            <w:r w:rsidRPr="00666F12">
              <w:rPr>
                <w:rFonts w:eastAsia="SimSun"/>
              </w:rPr>
              <w:t>Has energy storage or signal generation/amplification capabilities</w:t>
            </w:r>
          </w:p>
        </w:tc>
      </w:tr>
      <w:tr w:rsidR="00C64BCE" w:rsidRPr="00666F12" w14:paraId="4E24FF4B" w14:textId="77777777" w:rsidTr="00C64BCE">
        <w:trPr>
          <w:trHeight w:val="315"/>
        </w:trPr>
        <w:tc>
          <w:tcPr>
            <w:tcW w:w="2093" w:type="dxa"/>
            <w:hideMark/>
          </w:tcPr>
          <w:p w14:paraId="3796999B" w14:textId="77777777" w:rsidR="00666F12" w:rsidRPr="00666F12" w:rsidRDefault="00666F12" w:rsidP="00666F12">
            <w:pPr>
              <w:rPr>
                <w:rFonts w:eastAsia="SimSun"/>
              </w:rPr>
            </w:pPr>
            <w:r w:rsidRPr="00666F12">
              <w:rPr>
                <w:rFonts w:eastAsia="SimSun"/>
              </w:rPr>
              <w:t>Transmission Method</w:t>
            </w:r>
          </w:p>
        </w:tc>
        <w:tc>
          <w:tcPr>
            <w:tcW w:w="6763" w:type="dxa"/>
            <w:hideMark/>
          </w:tcPr>
          <w:p w14:paraId="278FAE78" w14:textId="77777777" w:rsidR="00666F12" w:rsidRPr="00666F12" w:rsidRDefault="00666F12" w:rsidP="00666F12">
            <w:pPr>
              <w:rPr>
                <w:rFonts w:eastAsia="SimSun"/>
              </w:rPr>
            </w:pPr>
            <w:r w:rsidRPr="00666F12">
              <w:rPr>
                <w:rFonts w:eastAsia="SimSun"/>
              </w:rPr>
              <w:t>Backscattering</w:t>
            </w:r>
          </w:p>
        </w:tc>
      </w:tr>
      <w:tr w:rsidR="00C64BCE" w:rsidRPr="00666F12" w14:paraId="58076BFE" w14:textId="77777777" w:rsidTr="00C64BCE">
        <w:trPr>
          <w:trHeight w:val="60"/>
        </w:trPr>
        <w:tc>
          <w:tcPr>
            <w:tcW w:w="2093" w:type="dxa"/>
            <w:hideMark/>
          </w:tcPr>
          <w:p w14:paraId="7C62C7F2" w14:textId="77777777" w:rsidR="00666F12" w:rsidRPr="00666F12" w:rsidRDefault="00666F12" w:rsidP="00666F12">
            <w:pPr>
              <w:rPr>
                <w:rFonts w:eastAsia="SimSun"/>
              </w:rPr>
            </w:pPr>
            <w:r w:rsidRPr="00666F12">
              <w:rPr>
                <w:rFonts w:eastAsia="SimSun"/>
              </w:rPr>
              <w:t>Key Components</w:t>
            </w:r>
          </w:p>
        </w:tc>
        <w:tc>
          <w:tcPr>
            <w:tcW w:w="6763" w:type="dxa"/>
            <w:hideMark/>
          </w:tcPr>
          <w:p w14:paraId="749D77BC" w14:textId="212DDE64" w:rsidR="00666F12" w:rsidRPr="00666F12" w:rsidRDefault="00666F12" w:rsidP="00666F12">
            <w:pPr>
              <w:rPr>
                <w:rFonts w:eastAsia="SimSun"/>
              </w:rPr>
            </w:pPr>
            <w:r w:rsidRPr="00666F12">
              <w:rPr>
                <w:rFonts w:eastAsia="SimSun"/>
              </w:rPr>
              <w:t xml:space="preserve">Low pass filter (LPF), envelope detector (ED), analog to digital converter (ADC), digital baseband (DBB), modulator (switch), </w:t>
            </w:r>
            <w:r>
              <w:rPr>
                <w:rFonts w:eastAsia="SimSun"/>
              </w:rPr>
              <w:t>RF</w:t>
            </w:r>
            <w:r w:rsidRPr="00666F12">
              <w:rPr>
                <w:rFonts w:eastAsia="SimSun"/>
              </w:rPr>
              <w:t xml:space="preserve"> energy harvester</w:t>
            </w:r>
          </w:p>
        </w:tc>
      </w:tr>
      <w:tr w:rsidR="00C64BCE" w:rsidRPr="00666F12" w14:paraId="59D77728" w14:textId="77777777" w:rsidTr="00C64BCE">
        <w:trPr>
          <w:trHeight w:val="60"/>
        </w:trPr>
        <w:tc>
          <w:tcPr>
            <w:tcW w:w="2093" w:type="dxa"/>
            <w:hideMark/>
          </w:tcPr>
          <w:p w14:paraId="2FC6E37D" w14:textId="77777777" w:rsidR="00666F12" w:rsidRPr="00666F12" w:rsidRDefault="00666F12" w:rsidP="00666F12">
            <w:pPr>
              <w:rPr>
                <w:rFonts w:eastAsia="SimSun"/>
              </w:rPr>
            </w:pPr>
            <w:r w:rsidRPr="00666F12">
              <w:rPr>
                <w:rFonts w:eastAsia="SimSun"/>
              </w:rPr>
              <w:t>Function</w:t>
            </w:r>
          </w:p>
        </w:tc>
        <w:tc>
          <w:tcPr>
            <w:tcW w:w="6763" w:type="dxa"/>
            <w:hideMark/>
          </w:tcPr>
          <w:p w14:paraId="7C1201AE" w14:textId="77777777" w:rsidR="00666F12" w:rsidRPr="00666F12" w:rsidRDefault="00666F12" w:rsidP="00666F12">
            <w:pPr>
              <w:rPr>
                <w:rFonts w:eastAsia="SimSun"/>
              </w:rPr>
            </w:pPr>
            <w:r w:rsidRPr="00666F12">
              <w:rPr>
                <w:rFonts w:eastAsia="SimSun"/>
              </w:rPr>
              <w:t>Requires a distant carrier wave source, experiences reflection loss, and needs a backscattering activation power threshold</w:t>
            </w:r>
          </w:p>
        </w:tc>
      </w:tr>
    </w:tbl>
    <w:p w14:paraId="56E57FE6" w14:textId="4367707C" w:rsidR="00666F12" w:rsidRPr="00666F12" w:rsidRDefault="00666F12" w:rsidP="00666F12">
      <w:pPr>
        <w:spacing w:beforeLines="100" w:before="240"/>
        <w:rPr>
          <w:rFonts w:eastAsia="SimSun"/>
        </w:rPr>
      </w:pPr>
      <w:r w:rsidRPr="00666F12">
        <w:rPr>
          <w:rFonts w:eastAsia="SimSun"/>
        </w:rPr>
        <w:t>The proposal is to FFS whether a [3rd] order Butterworth Low Pass Filter (LPF) can be used to manage this interference. If the [3rd] order Butterworth LPF is found to be unsuitable, the study should explore how the network can otherwise handle interference.</w:t>
      </w:r>
    </w:p>
    <w:p w14:paraId="10C785B0" w14:textId="3D9DD708" w:rsidR="00666F12" w:rsidRPr="006045F8" w:rsidRDefault="00666F12" w:rsidP="00666F12">
      <w:pPr>
        <w:rPr>
          <w:rFonts w:eastAsia="新細明體"/>
          <w:lang w:eastAsia="zh-TW"/>
        </w:rPr>
      </w:pPr>
      <w:r w:rsidRPr="00666F12">
        <w:rPr>
          <w:rFonts w:eastAsia="SimSun"/>
        </w:rPr>
        <w:t xml:space="preserve">If the proposal is not considered, there is a risk that interference will continue to negatively impact the performance and reliability of </w:t>
      </w:r>
      <w:r>
        <w:rPr>
          <w:rFonts w:eastAsia="SimSun"/>
        </w:rPr>
        <w:t>A-</w:t>
      </w:r>
      <w:r w:rsidRPr="00666F12">
        <w:rPr>
          <w:rFonts w:eastAsia="SimSun"/>
        </w:rPr>
        <w:t>IoT devices, potentially compromising the functionality of IoT networks.</w:t>
      </w:r>
    </w:p>
    <w:p w14:paraId="7C45E072" w14:textId="4064CF09" w:rsidR="0003458E" w:rsidRPr="002A725C" w:rsidRDefault="007217FC" w:rsidP="002A725C">
      <w:pPr>
        <w:pStyle w:val="Proposal"/>
      </w:pPr>
      <w:r>
        <w:t>Study</w:t>
      </w:r>
      <w:r w:rsidR="00666F12">
        <w:t xml:space="preserve"> on</w:t>
      </w:r>
      <w:r w:rsidR="00666F12" w:rsidRPr="00666F12">
        <w:t xml:space="preserve"> [3rd] Butterworth LPF's feasibility for Ambient IoT interference or alternative NW interference handling methods.</w:t>
      </w:r>
    </w:p>
    <w:p w14:paraId="77DBC5DE" w14:textId="77777777" w:rsidR="00C71720" w:rsidRDefault="00110A16">
      <w:pPr>
        <w:pStyle w:val="Heading1"/>
      </w:pPr>
      <w:r>
        <w:t>Support of multiple frequency bands</w:t>
      </w:r>
    </w:p>
    <w:p w14:paraId="042ACA4C" w14:textId="77777777" w:rsidR="00822509" w:rsidRPr="00822509" w:rsidRDefault="00822509" w:rsidP="00822509">
      <w:pPr>
        <w:rPr>
          <w:rFonts w:eastAsia="SimSun"/>
        </w:rPr>
      </w:pPr>
      <w:r w:rsidRPr="00822509">
        <w:rPr>
          <w:rFonts w:eastAsia="SimSun"/>
        </w:rPr>
        <w:t>A-IoT devices are constrained by power budgets, limiting multi-band operation due to mixer power requirements. The need for multi-band support in A-IoT, given these constraints, remains uncertain.</w:t>
      </w:r>
    </w:p>
    <w:p w14:paraId="51CF2E98" w14:textId="19142CD6" w:rsidR="00822509" w:rsidRDefault="00822509" w:rsidP="00822509">
      <w:pPr>
        <w:rPr>
          <w:rFonts w:eastAsia="SimSun"/>
        </w:rPr>
      </w:pPr>
      <w:r w:rsidRPr="00822509">
        <w:rPr>
          <w:rFonts w:eastAsia="SimSun"/>
        </w:rPr>
        <w:t>An FFS is proposed to determine the criticality of multi-band operation for A-IoT use cases. This study is crucial to balance the potential benefits of multi-band enhanced coverage and</w:t>
      </w:r>
      <w:r>
        <w:rPr>
          <w:rFonts w:eastAsia="SimSun"/>
        </w:rPr>
        <w:t xml:space="preserve"> </w:t>
      </w:r>
      <w:r w:rsidRPr="00822509">
        <w:rPr>
          <w:rFonts w:eastAsia="SimSun"/>
        </w:rPr>
        <w:t xml:space="preserve">increased power demands. </w:t>
      </w:r>
      <w:r w:rsidRPr="00822509">
        <w:rPr>
          <w:rFonts w:eastAsia="SimSun"/>
        </w:rPr>
        <w:lastRenderedPageBreak/>
        <w:t>Without multi-band capability, A-IoT deployment could be restricted by varying regional spectrum regulations, impacting device utility and market penetration.</w:t>
      </w:r>
    </w:p>
    <w:p w14:paraId="376CA920" w14:textId="3B0E3290" w:rsidR="0003458E" w:rsidRPr="002A725C" w:rsidRDefault="007217FC" w:rsidP="002A725C">
      <w:pPr>
        <w:pStyle w:val="Proposal"/>
        <w:rPr>
          <w:rFonts w:eastAsia="SimSun"/>
        </w:rPr>
      </w:pPr>
      <w:r>
        <w:t>Study</w:t>
      </w:r>
      <w:r w:rsidR="00822509" w:rsidRPr="00822509">
        <w:t xml:space="preserve"> </w:t>
      </w:r>
      <w:r w:rsidR="00822509">
        <w:t>on</w:t>
      </w:r>
      <w:r w:rsidR="00822509" w:rsidRPr="00822509">
        <w:t xml:space="preserve"> multi-band capabilities in A-IoT devices, considering their power limitations and the implications for global deployment due to diverse spectrum regulations.</w:t>
      </w:r>
    </w:p>
    <w:p w14:paraId="328635E5" w14:textId="77777777" w:rsidR="00C71720" w:rsidRDefault="00110A16">
      <w:pPr>
        <w:pStyle w:val="Heading1"/>
      </w:pPr>
      <w:r>
        <w:t xml:space="preserve">Support of UL transmission for active tags  </w:t>
      </w:r>
    </w:p>
    <w:tbl>
      <w:tblPr>
        <w:tblStyle w:val="TableGrid"/>
        <w:tblW w:w="0" w:type="auto"/>
        <w:tblLook w:val="04A0" w:firstRow="1" w:lastRow="0" w:firstColumn="1" w:lastColumn="0" w:noHBand="0" w:noVBand="1"/>
      </w:tblPr>
      <w:tblGrid>
        <w:gridCol w:w="8696"/>
      </w:tblGrid>
      <w:tr w:rsidR="001253E2" w14:paraId="7D868CD1" w14:textId="77777777" w:rsidTr="001253E2">
        <w:tc>
          <w:tcPr>
            <w:tcW w:w="8696" w:type="dxa"/>
          </w:tcPr>
          <w:p w14:paraId="7473D4CA" w14:textId="77777777" w:rsidR="001253E2" w:rsidRPr="001253E2" w:rsidRDefault="001253E2" w:rsidP="001253E2">
            <w:pPr>
              <w:overflowPunct/>
              <w:autoSpaceDE/>
              <w:autoSpaceDN/>
              <w:adjustRightInd/>
              <w:jc w:val="left"/>
              <w:textAlignment w:val="auto"/>
              <w:rPr>
                <w:rFonts w:eastAsia="新細明體" w:cs="Calibri"/>
                <w:lang w:eastAsia="zh-TW"/>
              </w:rPr>
            </w:pPr>
            <w:r w:rsidRPr="001253E2">
              <w:rPr>
                <w:rFonts w:eastAsia="新細明體" w:cs="Calibri"/>
                <w:lang w:eastAsia="zh-TW"/>
              </w:rPr>
              <w:t>The definitions provided in TR 38.848 are taken into this SI, and the following are the exclusive general scope:</w:t>
            </w:r>
          </w:p>
          <w:p w14:paraId="1AB74FCF" w14:textId="77777777" w:rsidR="001253E2" w:rsidRPr="001253E2" w:rsidRDefault="001253E2" w:rsidP="001253E2">
            <w:pPr>
              <w:numPr>
                <w:ilvl w:val="0"/>
                <w:numId w:val="27"/>
              </w:numPr>
              <w:overflowPunct/>
              <w:autoSpaceDE/>
              <w:autoSpaceDN/>
              <w:adjustRightInd/>
              <w:jc w:val="left"/>
              <w:textAlignment w:val="center"/>
              <w:rPr>
                <w:rFonts w:eastAsia="新細明體" w:cs="Calibri"/>
                <w:lang w:eastAsia="zh-TW"/>
              </w:rPr>
            </w:pPr>
            <w:r w:rsidRPr="001253E2">
              <w:rPr>
                <w:rFonts w:eastAsia="新細明體" w:cs="Calibri"/>
                <w:lang w:eastAsia="zh-TW"/>
              </w:rPr>
              <w:t xml:space="preserve">The overall objective shall be to </w:t>
            </w:r>
            <w:r w:rsidRPr="00936754">
              <w:rPr>
                <w:rFonts w:eastAsia="新細明體" w:cs="Calibri"/>
                <w:u w:val="single"/>
                <w:lang w:eastAsia="zh-TW"/>
              </w:rPr>
              <w:t>study a harmonized air interface design</w:t>
            </w:r>
            <w:r w:rsidRPr="001253E2">
              <w:rPr>
                <w:rFonts w:eastAsia="新細明體" w:cs="Calibri"/>
                <w:lang w:eastAsia="zh-TW"/>
              </w:rPr>
              <w:t xml:space="preserve"> with minimized differences (where necessary) for Ambient IoT to enable the following devices:</w:t>
            </w:r>
          </w:p>
          <w:p w14:paraId="057D7D83" w14:textId="0B51D0A0" w:rsidR="001253E2" w:rsidRPr="001253E2" w:rsidRDefault="001253E2" w:rsidP="001253E2">
            <w:pPr>
              <w:numPr>
                <w:ilvl w:val="1"/>
                <w:numId w:val="28"/>
              </w:numPr>
              <w:overflowPunct/>
              <w:autoSpaceDE/>
              <w:autoSpaceDN/>
              <w:adjustRightInd/>
              <w:jc w:val="left"/>
              <w:textAlignment w:val="center"/>
              <w:rPr>
                <w:rFonts w:eastAsia="新細明體" w:cs="Calibri"/>
                <w:lang w:eastAsia="zh-TW"/>
              </w:rPr>
            </w:pPr>
            <w:r w:rsidRPr="001253E2">
              <w:rPr>
                <w:rFonts w:eastAsia="新細明體" w:cs="Calibri"/>
                <w:lang w:eastAsia="zh-TW"/>
              </w:rPr>
              <w:t>~</w:t>
            </w:r>
            <w:r w:rsidR="003F28E2" w:rsidRPr="001253E2">
              <w:rPr>
                <w:rFonts w:eastAsia="新細明體" w:cs="Calibri"/>
                <w:lang w:eastAsia="zh-TW"/>
              </w:rPr>
              <w:t xml:space="preserve">1 </w:t>
            </w:r>
            <w:r w:rsidR="003F28E2" w:rsidRPr="001253E2">
              <w:rPr>
                <w:rFonts w:eastAsia="新細明體" w:cs="Calibri"/>
                <w:i/>
                <w:iCs/>
                <w:lang w:eastAsia="zh-TW"/>
              </w:rPr>
              <w:t>µ</w:t>
            </w:r>
            <w:r w:rsidR="003F28E2" w:rsidRPr="001253E2">
              <w:rPr>
                <w:rFonts w:eastAsia="新細明體" w:cs="Calibri"/>
                <w:lang w:eastAsia="zh-TW"/>
              </w:rPr>
              <w:t>W peak power consumption</w:t>
            </w:r>
            <w:r w:rsidRPr="001253E2">
              <w:rPr>
                <w:rFonts w:eastAsia="新細明體" w:cs="Calibri"/>
                <w:lang w:eastAsia="zh-TW"/>
              </w:rPr>
              <w:t xml:space="preserve"> has energy storage, initial sampling frequency offset (SFO) up to 10</w:t>
            </w:r>
            <w:r w:rsidRPr="001253E2">
              <w:rPr>
                <w:rFonts w:eastAsia="新細明體" w:cs="Calibri"/>
                <w:i/>
                <w:iCs/>
                <w:vertAlign w:val="superscript"/>
                <w:lang w:eastAsia="zh-TW"/>
              </w:rPr>
              <w:t>X</w:t>
            </w:r>
            <w:r w:rsidRPr="001253E2">
              <w:rPr>
                <w:rFonts w:eastAsia="新細明體" w:cs="Calibri"/>
                <w:lang w:eastAsia="zh-TW"/>
              </w:rPr>
              <w:t xml:space="preserve"> ppm, neither DL nor UL amplification in the device. The device’s UL transmission is backscattered on a carrier wave provided externally.</w:t>
            </w:r>
          </w:p>
          <w:p w14:paraId="3A44BEBE" w14:textId="6655278F" w:rsidR="001253E2" w:rsidRPr="001253E2" w:rsidRDefault="001253E2" w:rsidP="001253E2">
            <w:pPr>
              <w:numPr>
                <w:ilvl w:val="1"/>
                <w:numId w:val="28"/>
              </w:numPr>
              <w:overflowPunct/>
              <w:autoSpaceDE/>
              <w:autoSpaceDN/>
              <w:adjustRightInd/>
              <w:jc w:val="left"/>
              <w:textAlignment w:val="center"/>
              <w:rPr>
                <w:rFonts w:eastAsia="新細明體" w:cs="Calibri"/>
                <w:lang w:eastAsia="zh-TW"/>
              </w:rPr>
            </w:pPr>
            <w:r w:rsidRPr="001253E2">
              <w:rPr>
                <w:rFonts w:eastAsia="新細明體" w:cs="Calibri"/>
                <w:lang w:eastAsia="zh-TW"/>
              </w:rPr>
              <w:t xml:space="preserve">≤ a few hundred </w:t>
            </w:r>
            <w:r w:rsidRPr="001253E2">
              <w:rPr>
                <w:rFonts w:eastAsia="新細明體" w:cs="Calibri"/>
                <w:i/>
                <w:iCs/>
                <w:lang w:eastAsia="zh-TW"/>
              </w:rPr>
              <w:t>µ</w:t>
            </w:r>
            <w:r w:rsidRPr="001253E2">
              <w:rPr>
                <w:rFonts w:eastAsia="新細明體" w:cs="Calibri"/>
                <w:lang w:eastAsia="zh-TW"/>
              </w:rPr>
              <w:t>W peak power consumption</w:t>
            </w:r>
            <w:r w:rsidRPr="001253E2">
              <w:rPr>
                <w:rFonts w:eastAsia="新細明體" w:cs="Calibri"/>
                <w:vertAlign w:val="superscript"/>
                <w:lang w:eastAsia="zh-TW"/>
              </w:rPr>
              <w:t>1</w:t>
            </w:r>
            <w:r w:rsidRPr="001253E2">
              <w:rPr>
                <w:rFonts w:eastAsia="新細明體" w:cs="Calibri"/>
                <w:lang w:eastAsia="zh-TW"/>
              </w:rPr>
              <w:t>, has energy storage, initial sampling frequency offset (SFO) up to 10</w:t>
            </w:r>
            <w:r w:rsidRPr="001253E2">
              <w:rPr>
                <w:rFonts w:eastAsia="新細明體" w:cs="Calibri"/>
                <w:i/>
                <w:iCs/>
                <w:vertAlign w:val="superscript"/>
                <w:lang w:eastAsia="zh-TW"/>
              </w:rPr>
              <w:t>X</w:t>
            </w:r>
            <w:r w:rsidRPr="001253E2">
              <w:rPr>
                <w:rFonts w:eastAsia="新細明體" w:cs="Calibri"/>
                <w:lang w:eastAsia="zh-TW"/>
              </w:rPr>
              <w:t xml:space="preserve"> ppm, both DL and/or UL amplification in the device. </w:t>
            </w:r>
            <w:r w:rsidRPr="003F28E2">
              <w:rPr>
                <w:rFonts w:eastAsia="新細明體" w:cs="Calibri"/>
                <w:highlight w:val="yellow"/>
                <w:lang w:eastAsia="zh-TW"/>
              </w:rPr>
              <w:t xml:space="preserve">The device’s UL transmission may be generated internally by the </w:t>
            </w:r>
            <w:r w:rsidR="003F28E2" w:rsidRPr="003F28E2">
              <w:rPr>
                <w:rFonts w:eastAsia="新細明體" w:cs="Calibri"/>
                <w:highlight w:val="yellow"/>
                <w:lang w:eastAsia="zh-TW"/>
              </w:rPr>
              <w:t>device or</w:t>
            </w:r>
            <w:r w:rsidRPr="003F28E2">
              <w:rPr>
                <w:rFonts w:eastAsia="新細明體" w:cs="Calibri"/>
                <w:highlight w:val="yellow"/>
                <w:lang w:eastAsia="zh-TW"/>
              </w:rPr>
              <w:t xml:space="preserve"> be backscattered on a carrier wave provided externally.</w:t>
            </w:r>
          </w:p>
          <w:p w14:paraId="7A5642AE" w14:textId="3C9AA103" w:rsidR="001253E2" w:rsidRPr="001253E2" w:rsidRDefault="003F28E2" w:rsidP="001253E2">
            <w:pPr>
              <w:numPr>
                <w:ilvl w:val="1"/>
                <w:numId w:val="29"/>
              </w:numPr>
              <w:overflowPunct/>
              <w:autoSpaceDE/>
              <w:autoSpaceDN/>
              <w:adjustRightInd/>
              <w:jc w:val="left"/>
              <w:textAlignment w:val="center"/>
              <w:rPr>
                <w:rFonts w:eastAsia="新細明體" w:cs="Calibri"/>
                <w:lang w:eastAsia="zh-TW"/>
              </w:rPr>
            </w:pPr>
            <w:r w:rsidRPr="001253E2">
              <w:rPr>
                <w:rFonts w:eastAsia="新細明體" w:cs="Calibri"/>
                <w:i/>
                <w:iCs/>
                <w:lang w:eastAsia="zh-TW"/>
              </w:rPr>
              <w:t>X</w:t>
            </w:r>
            <w:r w:rsidRPr="001253E2">
              <w:rPr>
                <w:rFonts w:eastAsia="新細明體" w:cs="Calibri"/>
                <w:lang w:eastAsia="zh-TW"/>
              </w:rPr>
              <w:t xml:space="preserve"> is</w:t>
            </w:r>
            <w:r w:rsidR="001253E2" w:rsidRPr="001253E2">
              <w:rPr>
                <w:rFonts w:eastAsia="新細明體" w:cs="Calibri"/>
                <w:lang w:eastAsia="zh-TW"/>
              </w:rPr>
              <w:t xml:space="preserve"> to be decided in WGs.</w:t>
            </w:r>
          </w:p>
          <w:p w14:paraId="5A490E3C" w14:textId="77777777" w:rsidR="001253E2" w:rsidRPr="001253E2" w:rsidRDefault="001253E2" w:rsidP="001253E2">
            <w:pPr>
              <w:numPr>
                <w:ilvl w:val="1"/>
                <w:numId w:val="29"/>
              </w:numPr>
              <w:overflowPunct/>
              <w:autoSpaceDE/>
              <w:autoSpaceDN/>
              <w:adjustRightInd/>
              <w:jc w:val="left"/>
              <w:textAlignment w:val="center"/>
              <w:rPr>
                <w:rFonts w:eastAsia="新細明體" w:cs="Calibri"/>
                <w:lang w:eastAsia="zh-TW"/>
              </w:rPr>
            </w:pPr>
            <w:r w:rsidRPr="001253E2">
              <w:rPr>
                <w:rFonts w:eastAsia="新細明體" w:cs="Calibri"/>
                <w:lang w:eastAsia="zh-TW"/>
              </w:rPr>
              <w:t>Coverage design target: Maximum distance of 10-50 m with device indoors as per TR 38.848: “</w:t>
            </w:r>
            <w:r w:rsidRPr="001253E2">
              <w:rPr>
                <w:rFonts w:eastAsia="新細明體" w:cs="Calibri"/>
                <w:i/>
                <w:iCs/>
                <w:lang w:eastAsia="zh-TW"/>
              </w:rPr>
              <w:t>…a range that WGs can sub-select within</w:t>
            </w:r>
            <w:r w:rsidRPr="001253E2">
              <w:rPr>
                <w:rFonts w:eastAsia="新細明體" w:cs="Calibri"/>
                <w:lang w:eastAsia="zh-TW"/>
              </w:rPr>
              <w:t>”.</w:t>
            </w:r>
          </w:p>
          <w:p w14:paraId="3FB40BE8" w14:textId="77777777" w:rsidR="001253E2" w:rsidRPr="001253E2" w:rsidRDefault="001253E2" w:rsidP="001253E2">
            <w:pPr>
              <w:numPr>
                <w:ilvl w:val="1"/>
                <w:numId w:val="29"/>
              </w:numPr>
              <w:overflowPunct/>
              <w:autoSpaceDE/>
              <w:autoSpaceDN/>
              <w:adjustRightInd/>
              <w:jc w:val="left"/>
              <w:textAlignment w:val="center"/>
              <w:rPr>
                <w:rFonts w:eastAsia="新細明體" w:cs="Calibri"/>
                <w:lang w:eastAsia="zh-TW"/>
              </w:rPr>
            </w:pPr>
            <w:r w:rsidRPr="001253E2">
              <w:rPr>
                <w:rFonts w:eastAsia="新細明體" w:cs="Calibri"/>
                <w:lang w:eastAsia="zh-TW"/>
              </w:rPr>
              <w:t xml:space="preserve">For Topologies 1 &amp; 2 (UE as intermediate node under NW control) per TR 38.848, with no RRC states, no mobility (i.e. at least no cell selection/re-selection -like function), no HARQ, no ARQ. </w:t>
            </w:r>
          </w:p>
          <w:p w14:paraId="12D481DC" w14:textId="4B97983A" w:rsidR="001253E2" w:rsidRPr="001253E2" w:rsidRDefault="001253E2" w:rsidP="001253E2">
            <w:pPr>
              <w:overflowPunct/>
              <w:autoSpaceDE/>
              <w:autoSpaceDN/>
              <w:adjustRightInd/>
              <w:ind w:left="540"/>
              <w:jc w:val="left"/>
              <w:textAlignment w:val="auto"/>
              <w:rPr>
                <w:rFonts w:ascii="Times New Roman" w:eastAsia="新細明體" w:hAnsi="Times New Roman" w:cs="Times New Roman"/>
                <w:lang w:eastAsia="zh-TW"/>
              </w:rPr>
            </w:pPr>
            <w:r w:rsidRPr="001253E2">
              <w:rPr>
                <w:rFonts w:eastAsia="新細明體" w:cs="Calibri"/>
                <w:lang w:eastAsia="zh-TW"/>
              </w:rPr>
              <w:t xml:space="preserve">NOTE 1: It is to be understood that “≤ a few hundred </w:t>
            </w:r>
            <w:r w:rsidRPr="001253E2">
              <w:rPr>
                <w:rFonts w:eastAsia="新細明體" w:cs="Calibri"/>
                <w:i/>
                <w:iCs/>
                <w:lang w:eastAsia="zh-TW"/>
              </w:rPr>
              <w:t>µ</w:t>
            </w:r>
            <w:r w:rsidRPr="001253E2">
              <w:rPr>
                <w:rFonts w:eastAsia="新細明體" w:cs="Calibri"/>
                <w:lang w:eastAsia="zh-TW"/>
              </w:rPr>
              <w:t xml:space="preserve">W” means WGs are not tasked with setting a particular value, and that it will be for WG discussions to determine if a presented design with corresponding power consumption satisfies the “≤ a few hundred </w:t>
            </w:r>
            <w:r w:rsidRPr="001253E2">
              <w:rPr>
                <w:rFonts w:eastAsia="新細明體" w:cs="Calibri"/>
                <w:i/>
                <w:iCs/>
                <w:lang w:eastAsia="zh-TW"/>
              </w:rPr>
              <w:t>µ</w:t>
            </w:r>
            <w:r w:rsidRPr="001253E2">
              <w:rPr>
                <w:rFonts w:eastAsia="新細明體" w:cs="Calibri"/>
                <w:lang w:eastAsia="zh-TW"/>
              </w:rPr>
              <w:t>W” requirement.</w:t>
            </w:r>
          </w:p>
        </w:tc>
      </w:tr>
    </w:tbl>
    <w:p w14:paraId="0D427122" w14:textId="77777777" w:rsidR="003F28E2" w:rsidRPr="003F28E2" w:rsidRDefault="003F28E2" w:rsidP="003F28E2">
      <w:pPr>
        <w:spacing w:beforeLines="50" w:before="120"/>
        <w:rPr>
          <w:rFonts w:eastAsia="SimSun"/>
        </w:rPr>
      </w:pPr>
      <w:r w:rsidRPr="003F28E2">
        <w:rPr>
          <w:rFonts w:eastAsia="SimSun"/>
        </w:rPr>
        <w:t>The agreement regarding the uplink (UL) transmission capabilities of the device as stated, "The device’s UL transmission may be generated internally by the device or be backscattered on a carrier wave provided externally," presents an ambiguity that could lead to increased complexity in device design and challenges in achieving a harmonized air interface.</w:t>
      </w:r>
    </w:p>
    <w:p w14:paraId="58BF214F" w14:textId="77777777" w:rsidR="003F28E2" w:rsidRPr="003F28E2" w:rsidRDefault="003F28E2" w:rsidP="003F28E2">
      <w:pPr>
        <w:spacing w:beforeLines="50" w:before="120"/>
        <w:rPr>
          <w:rFonts w:eastAsia="SimSun"/>
        </w:rPr>
      </w:pPr>
      <w:r w:rsidRPr="003F28E2">
        <w:rPr>
          <w:rFonts w:eastAsia="SimSun"/>
        </w:rPr>
        <w:t>Requiring devices to support both internally generated and backscattered UL transmissions would complicate the design, necessitating additional components and potentially affecting power consumption and device size. Conversely, not requiring support for both methods could hinder the goal of a harmonized interface with minimal differences, leading to interoperability issues and deviations from expected performance standards for Ambient IoT.</w:t>
      </w:r>
    </w:p>
    <w:p w14:paraId="4464AEB6" w14:textId="0847FA8C" w:rsidR="003F28E2" w:rsidRDefault="003F28E2" w:rsidP="003F28E2">
      <w:pPr>
        <w:spacing w:beforeLines="50" w:before="120"/>
        <w:rPr>
          <w:rFonts w:eastAsia="SimSun"/>
          <w:highlight w:val="yellow"/>
        </w:rPr>
      </w:pPr>
      <w:r w:rsidRPr="003F28E2">
        <w:rPr>
          <w:rFonts w:eastAsia="SimSun"/>
        </w:rPr>
        <w:t>To address these concerns, it is recommended that further studies be conducted on the UL transmission requirements to clarify the necessity of backscattering versus internal generation. A clear directive on this matter will aid in developing a harmonized air interface that meets the objectives of minimizing differences and ensuring device compatibility within the Ambient IoT ecosystem.</w:t>
      </w:r>
    </w:p>
    <w:p w14:paraId="636325AB" w14:textId="23088C7B" w:rsidR="0003458E" w:rsidRPr="002A725C" w:rsidRDefault="007217FC" w:rsidP="002A725C">
      <w:pPr>
        <w:pStyle w:val="Proposal"/>
        <w:rPr>
          <w:rFonts w:eastAsia="SimSun"/>
        </w:rPr>
      </w:pPr>
      <w:r>
        <w:rPr>
          <w:rFonts w:eastAsia="SimSun"/>
        </w:rPr>
        <w:t>Study</w:t>
      </w:r>
      <w:r w:rsidR="003F28E2">
        <w:rPr>
          <w:rFonts w:eastAsia="SimSun"/>
        </w:rPr>
        <w:t xml:space="preserve"> on</w:t>
      </w:r>
      <w:r w:rsidR="003F28E2" w:rsidRPr="003F28E2">
        <w:rPr>
          <w:rFonts w:eastAsia="SimSun"/>
        </w:rPr>
        <w:t xml:space="preserve"> UL transmission requirements</w:t>
      </w:r>
      <w:r w:rsidR="003F28E2">
        <w:rPr>
          <w:rFonts w:eastAsia="SimSun"/>
        </w:rPr>
        <w:t xml:space="preserve"> for an active A-IoT tag</w:t>
      </w:r>
      <w:r w:rsidR="003F28E2" w:rsidRPr="003F28E2">
        <w:rPr>
          <w:rFonts w:eastAsia="SimSun"/>
        </w:rPr>
        <w:t xml:space="preserve">, specifically the need </w:t>
      </w:r>
      <w:r w:rsidR="00431421">
        <w:rPr>
          <w:rFonts w:eastAsia="SimSun"/>
        </w:rPr>
        <w:t>to support both</w:t>
      </w:r>
      <w:r w:rsidR="003F28E2" w:rsidRPr="003F28E2">
        <w:rPr>
          <w:rFonts w:eastAsia="SimSun"/>
        </w:rPr>
        <w:t xml:space="preserve"> backscattering </w:t>
      </w:r>
      <w:r w:rsidR="00431421">
        <w:rPr>
          <w:rFonts w:eastAsia="SimSun"/>
        </w:rPr>
        <w:t>and</w:t>
      </w:r>
      <w:r w:rsidR="003F28E2" w:rsidRPr="003F28E2">
        <w:rPr>
          <w:rFonts w:eastAsia="SimSun"/>
        </w:rPr>
        <w:t xml:space="preserve"> internal generation, to aid in the development of a harmonized air interface.</w:t>
      </w:r>
    </w:p>
    <w:p w14:paraId="41F1B65F" w14:textId="77777777" w:rsidR="00C71720" w:rsidRDefault="00110A16">
      <w:pPr>
        <w:pStyle w:val="Heading1"/>
      </w:pPr>
      <w:r>
        <w:lastRenderedPageBreak/>
        <w:t>Conclusion</w:t>
      </w:r>
    </w:p>
    <w:p w14:paraId="70EE371F" w14:textId="77777777" w:rsidR="00C71720" w:rsidRDefault="00110A16">
      <w:r>
        <w:t>In this contribution, we have the following proposals:</w:t>
      </w:r>
    </w:p>
    <w:p w14:paraId="6F994AE9" w14:textId="4495B392" w:rsidR="00822509" w:rsidRDefault="007217FC" w:rsidP="00822509">
      <w:pPr>
        <w:pStyle w:val="Proposal"/>
        <w:numPr>
          <w:ilvl w:val="0"/>
          <w:numId w:val="26"/>
        </w:numPr>
        <w:textAlignment w:val="auto"/>
      </w:pPr>
      <w:r>
        <w:t>Study</w:t>
      </w:r>
      <w:r w:rsidR="00822509">
        <w:t xml:space="preserve"> on [3rd] Butterworth LPF's feasibility for Ambient IoT interference or alternative NW interference handling methods.</w:t>
      </w:r>
    </w:p>
    <w:p w14:paraId="4697F92A" w14:textId="6AD8A17B" w:rsidR="00822509" w:rsidRPr="00822509" w:rsidRDefault="007217FC" w:rsidP="00822509">
      <w:pPr>
        <w:pStyle w:val="Proposal"/>
        <w:numPr>
          <w:ilvl w:val="0"/>
          <w:numId w:val="26"/>
        </w:numPr>
        <w:textAlignment w:val="auto"/>
        <w:rPr>
          <w:rFonts w:eastAsia="SimSun"/>
        </w:rPr>
      </w:pPr>
      <w:r>
        <w:t xml:space="preserve">Study </w:t>
      </w:r>
      <w:r w:rsidR="00822509">
        <w:t>on multi-band capabilities in A-IoT devices, considering their power limitations and the implications for global deployment due to diverse spectrum regulations.</w:t>
      </w:r>
    </w:p>
    <w:p w14:paraId="7BF308CD" w14:textId="278F10F7" w:rsidR="00C71720" w:rsidRPr="00431421" w:rsidRDefault="007217FC" w:rsidP="00431421">
      <w:pPr>
        <w:pStyle w:val="Proposal"/>
        <w:numPr>
          <w:ilvl w:val="0"/>
          <w:numId w:val="26"/>
        </w:numPr>
        <w:rPr>
          <w:rFonts w:eastAsia="SimSun"/>
        </w:rPr>
      </w:pPr>
      <w:r>
        <w:rPr>
          <w:rFonts w:eastAsia="SimSun"/>
        </w:rPr>
        <w:t>Study</w:t>
      </w:r>
      <w:r w:rsidR="00431421" w:rsidRPr="00431421">
        <w:rPr>
          <w:rFonts w:eastAsia="SimSun"/>
        </w:rPr>
        <w:t xml:space="preserve"> on UL transmission requirements for an active A-IoT tag, specifically the need to support both backscattering and internal generation, to aid in the development of a harmonized air interface.</w:t>
      </w:r>
    </w:p>
    <w:sectPr w:rsidR="00C71720" w:rsidRPr="00431421"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AC99C" w14:textId="77777777" w:rsidR="00E56131" w:rsidRDefault="00E56131" w:rsidP="00666F12">
      <w:pPr>
        <w:spacing w:after="0"/>
      </w:pPr>
      <w:r>
        <w:separator/>
      </w:r>
    </w:p>
  </w:endnote>
  <w:endnote w:type="continuationSeparator" w:id="0">
    <w:p w14:paraId="3852B189" w14:textId="77777777" w:rsidR="00E56131" w:rsidRDefault="00E56131" w:rsidP="00666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8C626" w14:textId="77777777" w:rsidR="00E56131" w:rsidRDefault="00E56131" w:rsidP="00666F12">
      <w:pPr>
        <w:spacing w:after="0"/>
      </w:pPr>
      <w:r>
        <w:separator/>
      </w:r>
    </w:p>
  </w:footnote>
  <w:footnote w:type="continuationSeparator" w:id="0">
    <w:p w14:paraId="0E087FB2" w14:textId="77777777" w:rsidR="00E56131" w:rsidRDefault="00E56131" w:rsidP="00666F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F3A1D50"/>
    <w:multiLevelType w:val="multilevel"/>
    <w:tmpl w:val="87A07B32"/>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1903933">
    <w:abstractNumId w:val="8"/>
  </w:num>
  <w:num w:numId="2" w16cid:durableId="356850655">
    <w:abstractNumId w:val="6"/>
  </w:num>
  <w:num w:numId="3" w16cid:durableId="60443942">
    <w:abstractNumId w:val="5"/>
  </w:num>
  <w:num w:numId="4" w16cid:durableId="190994578">
    <w:abstractNumId w:val="4"/>
  </w:num>
  <w:num w:numId="5" w16cid:durableId="2141415168">
    <w:abstractNumId w:val="7"/>
  </w:num>
  <w:num w:numId="6" w16cid:durableId="1404379403">
    <w:abstractNumId w:val="3"/>
  </w:num>
  <w:num w:numId="7" w16cid:durableId="1337229026">
    <w:abstractNumId w:val="2"/>
  </w:num>
  <w:num w:numId="8" w16cid:durableId="1407024737">
    <w:abstractNumId w:val="1"/>
  </w:num>
  <w:num w:numId="9" w16cid:durableId="2105687092">
    <w:abstractNumId w:val="0"/>
  </w:num>
  <w:num w:numId="10" w16cid:durableId="768892443">
    <w:abstractNumId w:val="10"/>
  </w:num>
  <w:num w:numId="11" w16cid:durableId="329600092">
    <w:abstractNumId w:val="12"/>
  </w:num>
  <w:num w:numId="12" w16cid:durableId="1979257417">
    <w:abstractNumId w:val="14"/>
  </w:num>
  <w:num w:numId="13" w16cid:durableId="232929243">
    <w:abstractNumId w:val="9"/>
  </w:num>
  <w:num w:numId="14" w16cid:durableId="1560938591">
    <w:abstractNumId w:val="9"/>
  </w:num>
  <w:num w:numId="15" w16cid:durableId="980579287">
    <w:abstractNumId w:val="9"/>
  </w:num>
  <w:num w:numId="16" w16cid:durableId="380982158">
    <w:abstractNumId w:val="9"/>
  </w:num>
  <w:num w:numId="17" w16cid:durableId="806360704">
    <w:abstractNumId w:val="9"/>
  </w:num>
  <w:num w:numId="18" w16cid:durableId="210851024">
    <w:abstractNumId w:val="9"/>
  </w:num>
  <w:num w:numId="19" w16cid:durableId="511726162">
    <w:abstractNumId w:val="9"/>
  </w:num>
  <w:num w:numId="20" w16cid:durableId="1615670806">
    <w:abstractNumId w:val="12"/>
  </w:num>
  <w:num w:numId="21" w16cid:durableId="1384063316">
    <w:abstractNumId w:val="12"/>
  </w:num>
  <w:num w:numId="22" w16cid:durableId="1117605574">
    <w:abstractNumId w:val="11"/>
  </w:num>
  <w:num w:numId="23" w16cid:durableId="356659867">
    <w:abstractNumId w:val="10"/>
  </w:num>
  <w:num w:numId="24" w16cid:durableId="875318096">
    <w:abstractNumId w:val="12"/>
  </w:num>
  <w:num w:numId="25" w16cid:durableId="1774589395">
    <w:abstractNumId w:val="14"/>
  </w:num>
  <w:num w:numId="26" w16cid:durableId="211609688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85744078">
    <w:abstractNumId w:val="13"/>
    <w:lvlOverride w:ilvl="0">
      <w:startOverride w:val="1"/>
    </w:lvlOverride>
  </w:num>
  <w:num w:numId="28" w16cid:durableId="2141457647">
    <w:abstractNumId w:val="13"/>
    <w:lvlOverride w:ilvl="0"/>
    <w:lvlOverride w:ilvl="1">
      <w:startOverride w:val="1"/>
    </w:lvlOverride>
  </w:num>
  <w:num w:numId="29" w16cid:durableId="1389260803">
    <w:abstractNumId w:val="1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0" w16cid:durableId="20980270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zUztTA0NjI2MbFU0lEKTi0uzszPAykwqwUAmRsiXSwAAAA="/>
  </w:docVars>
  <w:rsids>
    <w:rsidRoot w:val="00B47730"/>
    <w:rsid w:val="0003458E"/>
    <w:rsid w:val="00034616"/>
    <w:rsid w:val="0006063C"/>
    <w:rsid w:val="00110A16"/>
    <w:rsid w:val="001253E2"/>
    <w:rsid w:val="0013626B"/>
    <w:rsid w:val="0015074B"/>
    <w:rsid w:val="001F73D2"/>
    <w:rsid w:val="00266DBF"/>
    <w:rsid w:val="0029639D"/>
    <w:rsid w:val="002A725C"/>
    <w:rsid w:val="00326F90"/>
    <w:rsid w:val="00396394"/>
    <w:rsid w:val="003F28E2"/>
    <w:rsid w:val="00431421"/>
    <w:rsid w:val="006045F8"/>
    <w:rsid w:val="00666F12"/>
    <w:rsid w:val="007217FC"/>
    <w:rsid w:val="00822509"/>
    <w:rsid w:val="00936754"/>
    <w:rsid w:val="00A954D9"/>
    <w:rsid w:val="00AA1D8D"/>
    <w:rsid w:val="00AF2823"/>
    <w:rsid w:val="00B47730"/>
    <w:rsid w:val="00C64BCE"/>
    <w:rsid w:val="00C71720"/>
    <w:rsid w:val="00CB0664"/>
    <w:rsid w:val="00DA7C86"/>
    <w:rsid w:val="00E50567"/>
    <w:rsid w:val="00E56131"/>
    <w:rsid w:val="00EE3CB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7F156A"/>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F12"/>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666F12"/>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666F12"/>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666F12"/>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666F12"/>
    <w:pPr>
      <w:numPr>
        <w:ilvl w:val="3"/>
      </w:numPr>
      <w:outlineLvl w:val="3"/>
    </w:pPr>
    <w:rPr>
      <w:szCs w:val="24"/>
    </w:rPr>
  </w:style>
  <w:style w:type="paragraph" w:styleId="Heading5">
    <w:name w:val="heading 5"/>
    <w:aliases w:val="h5,Heading5,H5,5,mh2,Module heading 2"/>
    <w:basedOn w:val="Heading4"/>
    <w:next w:val="Normal"/>
    <w:link w:val="Heading5Char"/>
    <w:qFormat/>
    <w:rsid w:val="00666F12"/>
    <w:pPr>
      <w:numPr>
        <w:ilvl w:val="4"/>
      </w:numPr>
      <w:outlineLvl w:val="4"/>
    </w:pPr>
    <w:rPr>
      <w:sz w:val="22"/>
      <w:szCs w:val="22"/>
    </w:rPr>
  </w:style>
  <w:style w:type="paragraph" w:styleId="Heading6">
    <w:name w:val="heading 6"/>
    <w:aliases w:val="h6"/>
    <w:basedOn w:val="Normal"/>
    <w:next w:val="Normal"/>
    <w:link w:val="Heading6Char"/>
    <w:qFormat/>
    <w:rsid w:val="00666F12"/>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666F12"/>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666F12"/>
    <w:pPr>
      <w:numPr>
        <w:ilvl w:val="7"/>
        <w:numId w:val="24"/>
      </w:numPr>
      <w:outlineLvl w:val="7"/>
    </w:pPr>
  </w:style>
  <w:style w:type="paragraph" w:styleId="Heading9">
    <w:name w:val="heading 9"/>
    <w:aliases w:val="Figure Heading,FH"/>
    <w:basedOn w:val="Heading8"/>
    <w:next w:val="Normal"/>
    <w:link w:val="Heading9Char"/>
    <w:qFormat/>
    <w:rsid w:val="00666F1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666F12"/>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66F12"/>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666F12"/>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666F12"/>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666F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F12"/>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66F12"/>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666F12"/>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666F12"/>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666F12"/>
  </w:style>
  <w:style w:type="character" w:customStyle="1" w:styleId="BodyTextChar">
    <w:name w:val="Body Text Char"/>
    <w:basedOn w:val="DefaultParagraphFont"/>
    <w:link w:val="BodyText"/>
    <w:rsid w:val="00666F12"/>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666F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6F12"/>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6F12"/>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666F12"/>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666F12"/>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666F12"/>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666F12"/>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666F12"/>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666F12"/>
    <w:pPr>
      <w:spacing w:after="240"/>
      <w:jc w:val="center"/>
    </w:pPr>
    <w:rPr>
      <w:b/>
      <w:bCs/>
    </w:rPr>
  </w:style>
  <w:style w:type="character" w:styleId="Strong">
    <w:name w:val="Strong"/>
    <w:basedOn w:val="DefaultParagraphFont"/>
    <w:uiPriority w:val="22"/>
    <w:qFormat/>
    <w:rsid w:val="00666F12"/>
    <w:rPr>
      <w:b/>
      <w:bCs/>
    </w:rPr>
  </w:style>
  <w:style w:type="character" w:styleId="Emphasis">
    <w:name w:val="Emphasis"/>
    <w:basedOn w:val="DefaultParagraphFont"/>
    <w:uiPriority w:val="20"/>
    <w:qFormat/>
    <w:rsid w:val="00666F12"/>
    <w:rPr>
      <w:i/>
      <w:iCs/>
    </w:rPr>
  </w:style>
  <w:style w:type="paragraph" w:styleId="IntenseQuote">
    <w:name w:val="Intense Quote"/>
    <w:basedOn w:val="Normal"/>
    <w:next w:val="Normal"/>
    <w:link w:val="IntenseQuoteChar"/>
    <w:uiPriority w:val="30"/>
    <w:qFormat/>
    <w:rsid w:val="00666F1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6F12"/>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666F12"/>
    <w:rPr>
      <w:i/>
      <w:iCs/>
      <w:color w:val="404040" w:themeColor="text1" w:themeTint="BF"/>
    </w:rPr>
  </w:style>
  <w:style w:type="character" w:styleId="IntenseEmphasis">
    <w:name w:val="Intense Emphasis"/>
    <w:basedOn w:val="DefaultParagraphFont"/>
    <w:uiPriority w:val="21"/>
    <w:qFormat/>
    <w:rsid w:val="00666F12"/>
    <w:rPr>
      <w:i/>
      <w:iCs/>
      <w:color w:val="4F81BD" w:themeColor="accent1"/>
    </w:rPr>
  </w:style>
  <w:style w:type="character" w:styleId="SubtleReference">
    <w:name w:val="Subtle Reference"/>
    <w:basedOn w:val="DefaultParagraphFont"/>
    <w:uiPriority w:val="31"/>
    <w:qFormat/>
    <w:rsid w:val="00666F12"/>
    <w:rPr>
      <w:smallCaps/>
      <w:color w:val="5A5A5A" w:themeColor="text1" w:themeTint="A5"/>
    </w:rPr>
  </w:style>
  <w:style w:type="character" w:styleId="IntenseReference">
    <w:name w:val="Intense Reference"/>
    <w:basedOn w:val="DefaultParagraphFont"/>
    <w:uiPriority w:val="32"/>
    <w:qFormat/>
    <w:rsid w:val="00666F12"/>
    <w:rPr>
      <w:b/>
      <w:bCs/>
      <w:smallCaps/>
      <w:color w:val="4F81BD" w:themeColor="accent1"/>
      <w:spacing w:val="5"/>
    </w:rPr>
  </w:style>
  <w:style w:type="character" w:styleId="BookTitle">
    <w:name w:val="Book Title"/>
    <w:basedOn w:val="DefaultParagraphFont"/>
    <w:uiPriority w:val="33"/>
    <w:qFormat/>
    <w:rsid w:val="00666F12"/>
    <w:rPr>
      <w:b/>
      <w:bCs/>
      <w:i/>
      <w:iCs/>
      <w:spacing w:val="5"/>
    </w:rPr>
  </w:style>
  <w:style w:type="paragraph" w:styleId="TOCHeading">
    <w:name w:val="TOC Heading"/>
    <w:basedOn w:val="Heading1"/>
    <w:next w:val="Normal"/>
    <w:uiPriority w:val="39"/>
    <w:semiHidden/>
    <w:unhideWhenUsed/>
    <w:qFormat/>
    <w:rsid w:val="00666F12"/>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666F12"/>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666F12"/>
    <w:pPr>
      <w:numPr>
        <w:numId w:val="23"/>
      </w:numPr>
    </w:pPr>
    <w:rPr>
      <w:rFonts w:eastAsia="Times New Roman" w:cs="Times New Roman"/>
    </w:rPr>
  </w:style>
  <w:style w:type="paragraph" w:customStyle="1" w:styleId="Proposal">
    <w:name w:val="Proposal"/>
    <w:basedOn w:val="Normal"/>
    <w:qFormat/>
    <w:rsid w:val="00666F12"/>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666F12"/>
    <w:pPr>
      <w:numPr>
        <w:numId w:val="25"/>
      </w:numPr>
      <w:spacing w:beforeLines="100" w:before="240" w:after="240"/>
    </w:pPr>
    <w:rPr>
      <w:b/>
    </w:rPr>
  </w:style>
  <w:style w:type="paragraph" w:customStyle="1" w:styleId="LGTdoc">
    <w:name w:val="LGTdoc_본문"/>
    <w:basedOn w:val="Normal"/>
    <w:link w:val="LGTdocChar"/>
    <w:qFormat/>
    <w:rsid w:val="00666F12"/>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666F12"/>
    <w:rPr>
      <w:rFonts w:ascii="Times New Roman" w:eastAsia="Batang" w:hAnsi="Times New Roman" w:cs="Times New Roman"/>
      <w:kern w:val="2"/>
      <w:sz w:val="20"/>
      <w:szCs w:val="24"/>
      <w:lang w:eastAsia="ko-KR"/>
    </w:rPr>
  </w:style>
  <w:style w:type="paragraph" w:customStyle="1" w:styleId="TAH">
    <w:name w:val="TAH"/>
    <w:basedOn w:val="TAC"/>
    <w:link w:val="TAHCar"/>
    <w:qFormat/>
    <w:rsid w:val="00666F12"/>
    <w:rPr>
      <w:b/>
    </w:rPr>
  </w:style>
  <w:style w:type="character" w:customStyle="1" w:styleId="TAHCar">
    <w:name w:val="TAH Car"/>
    <w:link w:val="TAH"/>
    <w:qFormat/>
    <w:rsid w:val="00666F12"/>
    <w:rPr>
      <w:rFonts w:ascii="Arial" w:eastAsia="Times New Roman" w:hAnsi="Arial" w:cs="Times New Roman"/>
      <w:b/>
      <w:sz w:val="18"/>
      <w:szCs w:val="20"/>
      <w:lang w:eastAsia="ja-JP"/>
    </w:rPr>
  </w:style>
  <w:style w:type="paragraph" w:customStyle="1" w:styleId="TAC">
    <w:name w:val="TAC"/>
    <w:basedOn w:val="Normal"/>
    <w:link w:val="TACChar"/>
    <w:qFormat/>
    <w:rsid w:val="00666F12"/>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666F12"/>
    <w:rPr>
      <w:rFonts w:ascii="Arial" w:eastAsia="Times New Roman" w:hAnsi="Arial" w:cs="Times New Roman"/>
      <w:sz w:val="18"/>
      <w:szCs w:val="20"/>
      <w:lang w:eastAsia="ja-JP"/>
    </w:rPr>
  </w:style>
  <w:style w:type="paragraph" w:customStyle="1" w:styleId="TAL">
    <w:name w:val="TAL"/>
    <w:basedOn w:val="Normal"/>
    <w:link w:val="TALChar"/>
    <w:qFormat/>
    <w:rsid w:val="00666F12"/>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666F12"/>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666F12"/>
    <w:rPr>
      <w:rFonts w:ascii="Calibri" w:hAnsi="Calibri"/>
      <w:b/>
      <w:bCs/>
      <w:sz w:val="20"/>
      <w:szCs w:val="20"/>
      <w:lang w:eastAsia="zh-CN"/>
    </w:rPr>
  </w:style>
  <w:style w:type="character" w:styleId="CommentReference">
    <w:name w:val="annotation reference"/>
    <w:basedOn w:val="DefaultParagraphFont"/>
    <w:semiHidden/>
    <w:unhideWhenUsed/>
    <w:qFormat/>
    <w:rsid w:val="00666F12"/>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666F12"/>
    <w:rPr>
      <w:rFonts w:ascii="Calibri" w:eastAsia="SimSun" w:hAnsi="Calibri"/>
      <w:sz w:val="20"/>
      <w:lang w:eastAsia="ja-JP"/>
    </w:rPr>
  </w:style>
  <w:style w:type="table" w:styleId="PlainTable1">
    <w:name w:val="Plain Table 1"/>
    <w:basedOn w:val="TableNormal"/>
    <w:uiPriority w:val="99"/>
    <w:rsid w:val="00666F1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1253E2"/>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19198">
      <w:bodyDiv w:val="1"/>
      <w:marLeft w:val="0"/>
      <w:marRight w:val="0"/>
      <w:marTop w:val="0"/>
      <w:marBottom w:val="0"/>
      <w:divBdr>
        <w:top w:val="none" w:sz="0" w:space="0" w:color="auto"/>
        <w:left w:val="none" w:sz="0" w:space="0" w:color="auto"/>
        <w:bottom w:val="none" w:sz="0" w:space="0" w:color="auto"/>
        <w:right w:val="none" w:sz="0" w:space="0" w:color="auto"/>
      </w:divBdr>
    </w:div>
    <w:div w:id="648484249">
      <w:bodyDiv w:val="1"/>
      <w:marLeft w:val="0"/>
      <w:marRight w:val="0"/>
      <w:marTop w:val="0"/>
      <w:marBottom w:val="0"/>
      <w:divBdr>
        <w:top w:val="none" w:sz="0" w:space="0" w:color="auto"/>
        <w:left w:val="none" w:sz="0" w:space="0" w:color="auto"/>
        <w:bottom w:val="none" w:sz="0" w:space="0" w:color="auto"/>
        <w:right w:val="none" w:sz="0" w:space="0" w:color="auto"/>
      </w:divBdr>
    </w:div>
    <w:div w:id="736244260">
      <w:bodyDiv w:val="1"/>
      <w:marLeft w:val="0"/>
      <w:marRight w:val="0"/>
      <w:marTop w:val="0"/>
      <w:marBottom w:val="0"/>
      <w:divBdr>
        <w:top w:val="none" w:sz="0" w:space="0" w:color="auto"/>
        <w:left w:val="none" w:sz="0" w:space="0" w:color="auto"/>
        <w:bottom w:val="none" w:sz="0" w:space="0" w:color="auto"/>
        <w:right w:val="none" w:sz="0" w:space="0" w:color="auto"/>
      </w:divBdr>
    </w:div>
    <w:div w:id="892035666">
      <w:bodyDiv w:val="1"/>
      <w:marLeft w:val="0"/>
      <w:marRight w:val="0"/>
      <w:marTop w:val="0"/>
      <w:marBottom w:val="0"/>
      <w:divBdr>
        <w:top w:val="none" w:sz="0" w:space="0" w:color="auto"/>
        <w:left w:val="none" w:sz="0" w:space="0" w:color="auto"/>
        <w:bottom w:val="none" w:sz="0" w:space="0" w:color="auto"/>
        <w:right w:val="none" w:sz="0" w:space="0" w:color="auto"/>
      </w:divBdr>
    </w:div>
    <w:div w:id="1041245866">
      <w:bodyDiv w:val="1"/>
      <w:marLeft w:val="0"/>
      <w:marRight w:val="0"/>
      <w:marTop w:val="0"/>
      <w:marBottom w:val="0"/>
      <w:divBdr>
        <w:top w:val="none" w:sz="0" w:space="0" w:color="auto"/>
        <w:left w:val="none" w:sz="0" w:space="0" w:color="auto"/>
        <w:bottom w:val="none" w:sz="0" w:space="0" w:color="auto"/>
        <w:right w:val="none" w:sz="0" w:space="0" w:color="auto"/>
      </w:divBdr>
    </w:div>
    <w:div w:id="1107773868">
      <w:bodyDiv w:val="1"/>
      <w:marLeft w:val="0"/>
      <w:marRight w:val="0"/>
      <w:marTop w:val="0"/>
      <w:marBottom w:val="0"/>
      <w:divBdr>
        <w:top w:val="none" w:sz="0" w:space="0" w:color="auto"/>
        <w:left w:val="none" w:sz="0" w:space="0" w:color="auto"/>
        <w:bottom w:val="none" w:sz="0" w:space="0" w:color="auto"/>
        <w:right w:val="none" w:sz="0" w:space="0" w:color="auto"/>
      </w:divBdr>
    </w:div>
    <w:div w:id="1340817707">
      <w:bodyDiv w:val="1"/>
      <w:marLeft w:val="0"/>
      <w:marRight w:val="0"/>
      <w:marTop w:val="0"/>
      <w:marBottom w:val="0"/>
      <w:divBdr>
        <w:top w:val="none" w:sz="0" w:space="0" w:color="auto"/>
        <w:left w:val="none" w:sz="0" w:space="0" w:color="auto"/>
        <w:bottom w:val="none" w:sz="0" w:space="0" w:color="auto"/>
        <w:right w:val="none" w:sz="0" w:space="0" w:color="auto"/>
      </w:divBdr>
    </w:div>
    <w:div w:id="1627152927">
      <w:bodyDiv w:val="1"/>
      <w:marLeft w:val="0"/>
      <w:marRight w:val="0"/>
      <w:marTop w:val="0"/>
      <w:marBottom w:val="0"/>
      <w:divBdr>
        <w:top w:val="none" w:sz="0" w:space="0" w:color="auto"/>
        <w:left w:val="none" w:sz="0" w:space="0" w:color="auto"/>
        <w:bottom w:val="none" w:sz="0" w:space="0" w:color="auto"/>
        <w:right w:val="none" w:sz="0" w:space="0" w:color="auto"/>
      </w:divBdr>
    </w:div>
    <w:div w:id="1851991006">
      <w:bodyDiv w:val="1"/>
      <w:marLeft w:val="0"/>
      <w:marRight w:val="0"/>
      <w:marTop w:val="0"/>
      <w:marBottom w:val="0"/>
      <w:divBdr>
        <w:top w:val="none" w:sz="0" w:space="0" w:color="auto"/>
        <w:left w:val="none" w:sz="0" w:space="0" w:color="auto"/>
        <w:bottom w:val="none" w:sz="0" w:space="0" w:color="auto"/>
        <w:right w:val="none" w:sz="0" w:space="0" w:color="auto"/>
      </w:divBdr>
    </w:div>
    <w:div w:id="21322878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18</cp:revision>
  <dcterms:created xsi:type="dcterms:W3CDTF">2013-12-23T23:15:00Z</dcterms:created>
  <dcterms:modified xsi:type="dcterms:W3CDTF">2024-02-16T22:50:00Z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2024-02-07T07:47:43Z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5be6bcbe-b27f-4ecd-9d51-8214da11c55e</vt:lpwstr>
  </property>
  <property fmtid="{D5CDD505-2E9C-101B-9397-08002B2CF9AE}" pid="8" name="MSIP_Label_83bcef13-7cac-433f-ba1d-47a323951816_ContentBits">
    <vt:lpwstr>0</vt:lpwstr>
  </property>
</Properties>
</file>